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F0" w:rsidRDefault="007454F0" w:rsidP="000015E0">
      <w:pPr>
        <w:spacing w:after="0" w:line="240" w:lineRule="auto"/>
        <w:jc w:val="center"/>
        <w:outlineLvl w:val="0"/>
        <w:rPr>
          <w:rFonts w:ascii="SoberanaTitular-Regular" w:eastAsia="Times New Roman" w:hAnsi="SoberanaTitular-Regular" w:cs="Times New Roman"/>
          <w:b/>
          <w:bCs/>
          <w:color w:val="B92025"/>
          <w:kern w:val="36"/>
          <w:sz w:val="30"/>
          <w:szCs w:val="30"/>
          <w:lang w:val="fr-FR" w:eastAsia="es-ES"/>
        </w:rPr>
      </w:pPr>
    </w:p>
    <w:p w:rsidR="00A802F3" w:rsidRDefault="00A802F3" w:rsidP="000015E0">
      <w:pPr>
        <w:spacing w:after="0" w:line="240" w:lineRule="auto"/>
        <w:jc w:val="center"/>
        <w:outlineLvl w:val="0"/>
        <w:rPr>
          <w:rFonts w:ascii="SoberanaTitular-Regular" w:eastAsia="Times New Roman" w:hAnsi="SoberanaTitular-Regular" w:cs="Times New Roman"/>
          <w:b/>
          <w:bCs/>
          <w:color w:val="B92025"/>
          <w:kern w:val="36"/>
          <w:sz w:val="30"/>
          <w:szCs w:val="30"/>
          <w:lang w:val="fr-FR" w:eastAsia="es-ES"/>
        </w:rPr>
      </w:pPr>
    </w:p>
    <w:p w:rsidR="007454F0" w:rsidRDefault="007454F0" w:rsidP="000015E0">
      <w:pPr>
        <w:spacing w:after="0" w:line="240" w:lineRule="auto"/>
        <w:jc w:val="center"/>
        <w:outlineLvl w:val="0"/>
        <w:rPr>
          <w:rFonts w:ascii="SoberanaTitular-Regular" w:eastAsia="Times New Roman" w:hAnsi="SoberanaTitular-Regular" w:cs="Times New Roman"/>
          <w:b/>
          <w:bCs/>
          <w:color w:val="B92025"/>
          <w:kern w:val="36"/>
          <w:sz w:val="30"/>
          <w:szCs w:val="30"/>
          <w:lang w:val="fr-FR" w:eastAsia="es-ES"/>
        </w:rPr>
      </w:pPr>
      <w:r>
        <w:rPr>
          <w:noProof/>
          <w:lang w:eastAsia="es-ES"/>
        </w:rPr>
        <w:drawing>
          <wp:inline distT="0" distB="0" distL="0" distR="0" wp14:anchorId="36833B6B" wp14:editId="1F731DB5">
            <wp:extent cx="1735494" cy="1528677"/>
            <wp:effectExtent l="0" t="0" r="0" b="0"/>
            <wp:docPr id="1" name="Imagen 1" descr="Resultado de imagen de LOGO AMEX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AMEXC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32" cy="161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51" w:rsidRDefault="002E01B0" w:rsidP="000015E0">
      <w:pPr>
        <w:spacing w:after="0" w:line="240" w:lineRule="auto"/>
        <w:jc w:val="center"/>
        <w:outlineLvl w:val="0"/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</w:pPr>
      <w:r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 xml:space="preserve">Appel à candidatures </w:t>
      </w:r>
    </w:p>
    <w:p w:rsidR="000015E0" w:rsidRPr="007454F0" w:rsidRDefault="000E5251" w:rsidP="000015E0">
      <w:pPr>
        <w:spacing w:after="0" w:line="240" w:lineRule="auto"/>
        <w:jc w:val="center"/>
        <w:outlineLvl w:val="0"/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</w:pPr>
      <w:r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>B</w:t>
      </w:r>
      <w:bookmarkStart w:id="0" w:name="_GoBack"/>
      <w:bookmarkEnd w:id="0"/>
      <w:r w:rsidR="000015E0" w:rsidRPr="007454F0"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 xml:space="preserve">ourses </w:t>
      </w:r>
      <w:r w:rsidR="000F3828"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 xml:space="preserve">d’excellence académique </w:t>
      </w:r>
      <w:r w:rsidR="000015E0" w:rsidRPr="007454F0"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 xml:space="preserve">du gouvernement </w:t>
      </w:r>
      <w:r w:rsidR="000F3828"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>du Mexique</w:t>
      </w:r>
      <w:r w:rsidR="000015E0" w:rsidRPr="007454F0"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 xml:space="preserve"> </w:t>
      </w:r>
    </w:p>
    <w:p w:rsidR="00D47DA3" w:rsidRDefault="000015E0" w:rsidP="000015E0">
      <w:pPr>
        <w:spacing w:after="0" w:line="240" w:lineRule="auto"/>
        <w:jc w:val="center"/>
        <w:outlineLvl w:val="0"/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</w:pPr>
      <w:proofErr w:type="gramStart"/>
      <w:r w:rsidRPr="007454F0"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>pour</w:t>
      </w:r>
      <w:proofErr w:type="gramEnd"/>
      <w:r w:rsidRPr="007454F0"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 xml:space="preserve"> étrangers </w:t>
      </w:r>
    </w:p>
    <w:p w:rsidR="000015E0" w:rsidRPr="007454F0" w:rsidRDefault="007454F0" w:rsidP="000015E0">
      <w:pPr>
        <w:spacing w:after="0" w:line="240" w:lineRule="auto"/>
        <w:jc w:val="center"/>
        <w:outlineLvl w:val="0"/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</w:pPr>
      <w:r w:rsidRPr="007454F0">
        <w:rPr>
          <w:rFonts w:ascii="SoberanaTitular-Regular" w:eastAsia="Times New Roman" w:hAnsi="SoberanaTitular-Regular" w:cs="Times New Roman"/>
          <w:b/>
          <w:bCs/>
          <w:color w:val="000000" w:themeColor="text1"/>
          <w:kern w:val="36"/>
          <w:sz w:val="30"/>
          <w:szCs w:val="30"/>
          <w:lang w:val="fr-FR" w:eastAsia="es-ES"/>
        </w:rPr>
        <w:t>2018</w:t>
      </w:r>
    </w:p>
    <w:p w:rsidR="007454F0" w:rsidRDefault="007454F0" w:rsidP="000015E0">
      <w:pPr>
        <w:spacing w:after="0" w:line="240" w:lineRule="auto"/>
        <w:jc w:val="center"/>
        <w:outlineLvl w:val="0"/>
        <w:rPr>
          <w:rFonts w:ascii="SoberanaTitular-Regular" w:eastAsia="Times New Roman" w:hAnsi="SoberanaTitular-Regular" w:cs="Times New Roman"/>
          <w:b/>
          <w:bCs/>
          <w:color w:val="B92025"/>
          <w:kern w:val="36"/>
          <w:sz w:val="30"/>
          <w:szCs w:val="30"/>
          <w:lang w:val="fr-FR" w:eastAsia="es-ES"/>
        </w:rPr>
      </w:pPr>
    </w:p>
    <w:p w:rsidR="007454F0" w:rsidRPr="007454F0" w:rsidRDefault="007454F0" w:rsidP="007454F0">
      <w:pPr>
        <w:spacing w:before="150" w:after="150" w:line="360" w:lineRule="atLeast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L’appel </w:t>
      </w:r>
      <w:r w:rsidR="00D47DA3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à candidatures pour des</w:t>
      </w: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bourses </w:t>
      </w:r>
      <w:r w:rsidR="000F3828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d’excellence</w:t>
      </w: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du gouv</w:t>
      </w:r>
      <w:r w:rsidR="000F3828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ernement du Mexique</w:t>
      </w:r>
      <w:r w:rsidR="00D47DA3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pour étrangers </w:t>
      </w: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2018 a été publié le 4 août dernier par le </w:t>
      </w:r>
      <w:hyperlink r:id="rId6" w:history="1">
        <w:r w:rsidRPr="007454F0">
          <w:rPr>
            <w:rStyle w:val="Hipervnculo"/>
            <w:rFonts w:ascii="SoberanaSans-Regular" w:eastAsia="Times New Roman" w:hAnsi="SoberanaSans-Regular" w:cs="Times New Roman"/>
            <w:color w:val="000000" w:themeColor="text1"/>
            <w:sz w:val="24"/>
            <w:szCs w:val="24"/>
            <w:lang w:val="fr-FR" w:eastAsia="es-ES"/>
          </w:rPr>
          <w:t>Ministère mexicain des Relations extérieures (SRE).</w:t>
        </w:r>
      </w:hyperlink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</w:t>
      </w:r>
    </w:p>
    <w:p w:rsidR="000015E0" w:rsidRPr="007454F0" w:rsidRDefault="000F3828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Le </w:t>
      </w: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gouvernement </w:t>
      </w:r>
      <w:r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du Mexique</w:t>
      </w: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</w:t>
      </w:r>
      <w:r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propose de</w:t>
      </w:r>
      <w:r w:rsidR="00D47DA3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s</w:t>
      </w:r>
      <w:r w:rsidR="000015E0"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bourses pour des études de</w:t>
      </w:r>
      <w:r w:rsidR="00D47DA3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niveaux</w:t>
      </w:r>
      <w:r w:rsidR="000015E0"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master, doctorat et post-doctorat, ainsi que pour des séjours de recherche et des programmes de mobilité</w:t>
      </w:r>
      <w:r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étudiante</w:t>
      </w:r>
      <w:r w:rsidR="000015E0"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. </w:t>
      </w: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Les</w:t>
      </w:r>
      <w:r w:rsidR="00D47DA3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dossiers de candidature doivent</w:t>
      </w: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être déposés auprès du Service de coopération éducative, technique et scientifique de l’Ambassade du Mexique en France sur rendez-vous téléphonique :</w:t>
      </w: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  </w:t>
      </w:r>
    </w:p>
    <w:p w:rsidR="000015E0" w:rsidRPr="007454F0" w:rsidRDefault="000015E0" w:rsidP="007454F0">
      <w:pPr>
        <w:spacing w:after="0" w:line="24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b/>
          <w:bCs/>
          <w:color w:val="000000" w:themeColor="text1"/>
          <w:sz w:val="24"/>
          <w:szCs w:val="24"/>
          <w:lang w:val="fr-FR" w:eastAsia="es-ES"/>
        </w:rPr>
        <w:t>Mme Erika REBOLLAR</w:t>
      </w:r>
    </w:p>
    <w:p w:rsidR="000015E0" w:rsidRPr="007454F0" w:rsidRDefault="000015E0" w:rsidP="007454F0">
      <w:pPr>
        <w:spacing w:after="0" w:line="24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Coopération éducative, technique et scientifique</w:t>
      </w:r>
    </w:p>
    <w:p w:rsidR="000015E0" w:rsidRPr="007454F0" w:rsidRDefault="000015E0" w:rsidP="007454F0">
      <w:pPr>
        <w:spacing w:after="0" w:line="24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Ambassade du Mexique en France</w:t>
      </w:r>
    </w:p>
    <w:p w:rsidR="000015E0" w:rsidRPr="007454F0" w:rsidRDefault="000015E0" w:rsidP="007454F0">
      <w:pPr>
        <w:spacing w:after="0" w:line="24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9, rue de Longchamp</w:t>
      </w:r>
    </w:p>
    <w:p w:rsidR="000015E0" w:rsidRPr="007454F0" w:rsidRDefault="000015E0" w:rsidP="007454F0">
      <w:pPr>
        <w:spacing w:after="0" w:line="24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75116 Paris</w:t>
      </w:r>
    </w:p>
    <w:p w:rsidR="000015E0" w:rsidRPr="007454F0" w:rsidRDefault="000015E0" w:rsidP="007454F0">
      <w:pPr>
        <w:spacing w:after="0" w:line="24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Tél. 01 53 70 27 66</w:t>
      </w:r>
    </w:p>
    <w:p w:rsidR="000015E0" w:rsidRPr="007454F0" w:rsidRDefault="000E5251" w:rsidP="007454F0">
      <w:pPr>
        <w:spacing w:after="0" w:line="24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hyperlink r:id="rId7" w:history="1">
        <w:r w:rsidR="000015E0" w:rsidRPr="007454F0">
          <w:rPr>
            <w:rFonts w:ascii="SoberanaSans-Regular" w:eastAsia="Times New Roman" w:hAnsi="SoberanaSans-Regular" w:cs="Times New Roman"/>
            <w:color w:val="000000" w:themeColor="text1"/>
            <w:sz w:val="24"/>
            <w:szCs w:val="24"/>
            <w:lang w:val="fr-FR" w:eastAsia="es-ES"/>
          </w:rPr>
          <w:t>erebollar@sre.gob.mx</w:t>
        </w:r>
      </w:hyperlink>
      <w:r w:rsidR="000015E0"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 </w:t>
      </w: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</w:p>
    <w:p w:rsidR="000015E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Pour de plus amples renseignements sur les bourses attribuées par le gouvernement </w:t>
      </w:r>
      <w:r w:rsidR="000F3828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du Mexique</w:t>
      </w: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, veuillez consulter le site internet du Ministère mex</w:t>
      </w:r>
      <w:r w:rsidR="007454F0"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icain des Relations </w:t>
      </w:r>
      <w:proofErr w:type="gramStart"/>
      <w:r w:rsidR="007454F0"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extérieures</w:t>
      </w:r>
      <w:proofErr w:type="gramEnd"/>
      <w:r w:rsidR="007B5075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 xml:space="preserve"> : </w:t>
      </w:r>
      <w:hyperlink r:id="rId8" w:history="1">
        <w:r w:rsidR="007B5075" w:rsidRPr="000F4C27">
          <w:rPr>
            <w:rStyle w:val="Hipervnculo"/>
            <w:rFonts w:ascii="SoberanaSans-Regular" w:eastAsia="Times New Roman" w:hAnsi="SoberanaSans-Regular" w:cs="Times New Roman"/>
            <w:sz w:val="24"/>
            <w:szCs w:val="24"/>
            <w:lang w:val="fr-FR" w:eastAsia="es-ES"/>
          </w:rPr>
          <w:t>https://www.gob.mx/cms/uploads/attachment/file/251396/Bourses_d_excellence_acad_mique_du_Gouvernement_du_Mexique_pour__trangers_2018.pdf</w:t>
        </w:r>
      </w:hyperlink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 </w:t>
      </w:r>
    </w:p>
    <w:p w:rsidR="007B5075" w:rsidRDefault="007B5075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lastRenderedPageBreak/>
        <w:t xml:space="preserve">La décision finale sur l’attribution des bourses relève du Ministère mexicain des Relations extérieures. </w:t>
      </w: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Pour plus d’informations sur les institutions mexicaines d'enseignement supérieur et les centres de recherche, veuillez consulter les sites internet suivants :</w:t>
      </w: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eastAsia="es-ES"/>
        </w:rPr>
      </w:pPr>
      <w:proofErr w:type="gramStart"/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eastAsia="es-ES"/>
        </w:rPr>
        <w:t>ANUIES :</w:t>
      </w:r>
      <w:proofErr w:type="gramEnd"/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eastAsia="es-ES"/>
        </w:rPr>
        <w:t xml:space="preserve"> http://www.anuies.mx</w:t>
      </w: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eastAsia="es-ES"/>
        </w:rPr>
        <w:t>UNAM: http ://www.unam.mx</w:t>
      </w: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CONACYT :  http://www.conacyt.mx</w:t>
      </w:r>
    </w:p>
    <w:p w:rsidR="000015E0" w:rsidRPr="007454F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color w:val="000000" w:themeColor="text1"/>
          <w:sz w:val="24"/>
          <w:szCs w:val="24"/>
          <w:lang w:val="fr-FR" w:eastAsia="es-ES"/>
        </w:rPr>
        <w:t> </w:t>
      </w:r>
    </w:p>
    <w:p w:rsidR="000015E0" w:rsidRDefault="000015E0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b/>
          <w:i/>
          <w:color w:val="000000" w:themeColor="text1"/>
          <w:sz w:val="24"/>
          <w:szCs w:val="24"/>
          <w:lang w:val="fr-FR" w:eastAsia="es-ES"/>
        </w:rPr>
      </w:pPr>
      <w:r w:rsidRPr="007454F0">
        <w:rPr>
          <w:rFonts w:ascii="SoberanaSans-Regular" w:eastAsia="Times New Roman" w:hAnsi="SoberanaSans-Regular" w:cs="Times New Roman"/>
          <w:b/>
          <w:i/>
          <w:color w:val="000000" w:themeColor="text1"/>
          <w:sz w:val="24"/>
          <w:szCs w:val="24"/>
          <w:lang w:val="fr-FR" w:eastAsia="es-ES"/>
        </w:rPr>
        <w:t>L’Ambassade du Mexique en France est en mesure de recevoir uniquement les candidatures des étudiants français.</w:t>
      </w:r>
    </w:p>
    <w:p w:rsidR="007B5075" w:rsidRDefault="007B5075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b/>
          <w:i/>
          <w:color w:val="000000" w:themeColor="text1"/>
          <w:sz w:val="24"/>
          <w:szCs w:val="24"/>
          <w:lang w:val="fr-FR" w:eastAsia="es-ES"/>
        </w:rPr>
      </w:pPr>
    </w:p>
    <w:p w:rsidR="007B5075" w:rsidRDefault="007B5075" w:rsidP="007454F0">
      <w:pPr>
        <w:spacing w:after="0" w:line="360" w:lineRule="auto"/>
        <w:ind w:left="150" w:right="150"/>
        <w:jc w:val="both"/>
        <w:rPr>
          <w:rFonts w:ascii="SoberanaSans-Regular" w:eastAsia="Times New Roman" w:hAnsi="SoberanaSans-Regular" w:cs="Times New Roman"/>
          <w:b/>
          <w:i/>
          <w:color w:val="000000" w:themeColor="text1"/>
          <w:sz w:val="24"/>
          <w:szCs w:val="24"/>
          <w:lang w:val="fr-FR" w:eastAsia="es-ES"/>
        </w:rPr>
      </w:pPr>
    </w:p>
    <w:sectPr w:rsidR="007B5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Titular-Regular">
    <w:altName w:val="Times New Roman"/>
    <w:panose1 w:val="00000000000000000000"/>
    <w:charset w:val="00"/>
    <w:family w:val="roman"/>
    <w:notTrueType/>
    <w:pitch w:val="default"/>
  </w:font>
  <w:font w:name="SoberanaSans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F5924"/>
    <w:multiLevelType w:val="hybridMultilevel"/>
    <w:tmpl w:val="5A20FA98"/>
    <w:lvl w:ilvl="0" w:tplc="77D2218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E0"/>
    <w:rsid w:val="000015E0"/>
    <w:rsid w:val="000E5251"/>
    <w:rsid w:val="000F3828"/>
    <w:rsid w:val="002E01B0"/>
    <w:rsid w:val="0060210C"/>
    <w:rsid w:val="00614B84"/>
    <w:rsid w:val="007454F0"/>
    <w:rsid w:val="007B5075"/>
    <w:rsid w:val="00866064"/>
    <w:rsid w:val="00A802F3"/>
    <w:rsid w:val="00C74789"/>
    <w:rsid w:val="00D47DA3"/>
    <w:rsid w:val="00DA5513"/>
    <w:rsid w:val="00DF47F2"/>
    <w:rsid w:val="00E15DF2"/>
    <w:rsid w:val="00E500D6"/>
    <w:rsid w:val="00E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294B-D1D5-4233-BC1C-8A5ABCD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5E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54F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B5075"/>
    <w:pPr>
      <w:ind w:left="720"/>
      <w:contextualSpacing/>
    </w:pPr>
  </w:style>
  <w:style w:type="character" w:customStyle="1" w:styleId="invisible">
    <w:name w:val="invisible"/>
    <w:basedOn w:val="Fuentedeprrafopredeter"/>
    <w:rsid w:val="00E540DE"/>
  </w:style>
  <w:style w:type="character" w:customStyle="1" w:styleId="js-display-url">
    <w:name w:val="js-display-url"/>
    <w:basedOn w:val="Fuentedeprrafopredeter"/>
    <w:rsid w:val="00E5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91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251396/Bourses_d_excellence_acad_mique_du_Gouvernement_du_Mexique_pour__trangers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ebollar@sre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.gob.m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Rebollar-Pastres, Erika</dc:creator>
  <cp:keywords/>
  <dc:description/>
  <cp:lastModifiedBy>Rebollar-Pastres, Erika</cp:lastModifiedBy>
  <cp:revision>3</cp:revision>
  <dcterms:created xsi:type="dcterms:W3CDTF">2017-08-28T09:46:00Z</dcterms:created>
  <dcterms:modified xsi:type="dcterms:W3CDTF">2017-09-01T07:56:00Z</dcterms:modified>
</cp:coreProperties>
</file>